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03B19C1">
      <w:pPr>
        <w:spacing w:line="360" w:lineRule="auto"/>
        <w:jc w:val="center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10541000</wp:posOffset>
            </wp:positionV>
            <wp:extent cx="393700" cy="4953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2025</w:t>
      </w:r>
      <w:r>
        <w:rPr>
          <w:rFonts w:ascii="宋体" w:eastAsia="宋体" w:hAnsi="宋体" w:cs="宋体"/>
          <w:b/>
          <w:color w:val="000000"/>
          <w:sz w:val="32"/>
        </w:rPr>
        <w:t>年高二物理开学考</w:t>
      </w:r>
    </w:p>
    <w:p w14:paraId="0D1B3A27">
      <w:pPr>
        <w:spacing w:line="330" w:lineRule="auto"/>
        <w:jc w:val="center"/>
        <w:textAlignment w:val="center"/>
      </w:pPr>
      <w:r>
        <w:rPr>
          <w:rFonts w:ascii="宋体" w:eastAsia="宋体" w:hAnsi="宋体" w:cs="宋体"/>
          <w:color w:val="000000"/>
          <w:sz w:val="21"/>
        </w:rPr>
        <w:t>姓名：__________ 班级：__________ 考号：__________</w:t>
      </w:r>
    </w:p>
    <w:p w14:paraId="6EB63C0F">
      <w:pPr>
        <w:pStyle w:val="Heading1"/>
        <w:numPr>
          <w:ilvl w:val="0"/>
          <w:numId w:val="1"/>
        </w:numPr>
        <w:spacing w:line="360" w:lineRule="auto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单选题</w:t>
      </w:r>
    </w:p>
    <w:p w14:paraId="7EF477B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 w14:paraId="2410546C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 w14:paraId="1AA1EFA6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 w14:paraId="36647CEE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C.</w:t>
      </w:r>
    </w:p>
    <w:p w14:paraId="7A2404EC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D.</w:t>
      </w:r>
    </w:p>
    <w:p w14:paraId="64D7893A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 xml:space="preserve">C </w:t>
      </w:r>
    </w:p>
    <w:p w14:paraId="7E63AEBA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 w14:paraId="73E18EAE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AD</w:t>
      </w:r>
    </w:p>
    <w:p w14:paraId="3AA274A1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AD</w:t>
      </w:r>
    </w:p>
    <w:p w14:paraId="7349B575">
      <w:pPr>
        <w:numPr>
          <w:ilvl w:val="0"/>
          <w:numId w:val="2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AC</w:t>
      </w:r>
      <w:bookmarkStart w:id="0" w:name="_GoBack"/>
      <w:bookmarkEnd w:id="0"/>
    </w:p>
    <w:p w14:paraId="73F51B33">
      <w:pPr>
        <w:pStyle w:val="Heading1"/>
        <w:spacing w:line="360" w:lineRule="auto"/>
        <w:textAlignment w:val="center"/>
      </w:pPr>
      <w:r>
        <w:rPr>
          <w:rFonts w:ascii="宋体" w:eastAsia="宋体" w:hAnsi="宋体" w:cs="宋体"/>
          <w:b/>
          <w:color w:val="000000"/>
          <w:sz w:val="28"/>
          <w:lang w:val="en-US"/>
        </w:rPr>
        <w:t>二</w:t>
      </w:r>
      <w:r>
        <w:rPr>
          <w:rFonts w:ascii="宋体" w:eastAsia="宋体" w:hAnsi="宋体" w:cs="宋体"/>
          <w:b/>
          <w:color w:val="000000"/>
          <w:sz w:val="28"/>
        </w:rPr>
        <w:t>、</w:t>
      </w:r>
      <w:r>
        <w:rPr>
          <w:rFonts w:ascii="宋体" w:eastAsia="宋体" w:hAnsi="宋体" w:cs="宋体"/>
        </w:rPr>
        <w:t>实验题</w:t>
      </w:r>
    </w:p>
    <w:p w14:paraId="6EC5AE58"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11</w:t>
      </w:r>
      <w:r>
        <w:rPr>
          <w:rFonts w:ascii="宋体" w:eastAsia="宋体" w:hAnsi="宋体" w:cs="宋体"/>
          <w:color w:val="000000"/>
          <w:sz w:val="21"/>
        </w:rPr>
        <w:t>.</w:t>
      </w:r>
      <w:r>
        <w:rPr>
          <w:rFonts w:ascii="宋体" w:eastAsia="宋体" w:hAnsi="宋体" w:cs="宋体"/>
          <w:b/>
          <w:color w:val="000000"/>
          <w:sz w:val="21"/>
        </w:rPr>
        <w:t>【答案】</w:t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</w:rPr>
        <w:t>AB</w:t>
      </w:r>
      <w:r>
        <w:rPr>
          <w:rFonts w:ascii="宋体" w:eastAsia="宋体" w:hAnsi="宋体" w:cs="宋体"/>
          <w:color w:val="000000"/>
          <w:sz w:val="21"/>
        </w:rPr>
        <w:t>　(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>)－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mgh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　</w:t>
      </w:r>
      <w:r>
        <w:drawing>
          <wp:inline distT="0" distB="0" distL="0" distR="0">
            <wp:extent cx="62230" cy="213359"/>
            <wp:effectExtent l="0" t="0" r="13970" b="15240"/>
            <wp:docPr id="1026" name="Drawing 2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Drawing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drawing>
          <wp:inline distT="0" distB="0" distL="0" distR="0">
            <wp:extent cx="400050" cy="257810"/>
            <wp:effectExtent l="0" t="0" r="0" b="8890"/>
            <wp:docPr id="1027" name="Drawing 3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Drawing 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　(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</w:p>
    <w:p w14:paraId="79BE41D8">
      <w:pPr>
        <w:spacing w:line="360" w:lineRule="auto"/>
        <w:textAlignment w:val="center"/>
      </w:pPr>
      <w:r>
        <w:rPr>
          <w:rFonts w:ascii="宋体" w:eastAsia="宋体" w:hAnsi="宋体" w:cs="宋体"/>
          <w:b/>
          <w:color w:val="000000"/>
          <w:sz w:val="21"/>
        </w:rPr>
        <w:t>【解析】</w:t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>)重物体积小，所受空气阻力小，质量越大，空气阻力引起的相对误差就越小，所以应选择质量大，体积小的重物进行实验，故</w:t>
      </w:r>
      <w:r>
        <w:rPr>
          <w:rFonts w:ascii="Times New Roman" w:eastAsia="Times New Roman" w:hAnsi="Times New Roman" w:cs="Times New Roman"/>
          <w:color w:val="000000"/>
          <w:sz w:val="21"/>
        </w:rPr>
        <w:t>A</w:t>
      </w:r>
      <w:r>
        <w:rPr>
          <w:rFonts w:ascii="宋体" w:eastAsia="宋体" w:hAnsi="宋体" w:cs="宋体"/>
          <w:color w:val="000000"/>
          <w:sz w:val="21"/>
        </w:rPr>
        <w:t>正确；为减小纸带与限位孔间的摩擦，释放纸带之前，纸带必须处于竖直状态，故</w:t>
      </w:r>
      <w:r>
        <w:rPr>
          <w:rFonts w:ascii="Times New Roman" w:eastAsia="Times New Roman" w:hAnsi="Times New Roman" w:cs="Times New Roman"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正确；由实验步骤可知，应先接通电源，当打点计时器工作稳定后，再释放纸带，故</w:t>
      </w:r>
      <w:r>
        <w:rPr>
          <w:rFonts w:ascii="Times New Roman" w:eastAsia="Times New Roman" w:hAnsi="Times New Roman" w:cs="Times New Roman"/>
          <w:color w:val="000000"/>
          <w:sz w:val="21"/>
        </w:rPr>
        <w:t>C</w:t>
      </w:r>
      <w:r>
        <w:rPr>
          <w:rFonts w:ascii="宋体" w:eastAsia="宋体" w:hAnsi="宋体" w:cs="宋体"/>
          <w:color w:val="000000"/>
          <w:sz w:val="21"/>
        </w:rPr>
        <w:t>错误。</w:t>
      </w:r>
    </w:p>
    <w:p w14:paraId="5201CE4E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>)由重力做功与重力势能的关系可知，从打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O</w:t>
      </w:r>
      <w:r>
        <w:rPr>
          <w:rFonts w:ascii="宋体" w:eastAsia="宋体" w:hAnsi="宋体" w:cs="宋体"/>
          <w:color w:val="000000"/>
          <w:sz w:val="21"/>
        </w:rPr>
        <w:t>点到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点的过程中，重物的重力势能变化量Δ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p</w:t>
      </w:r>
      <w:r>
        <w:rPr>
          <w:rFonts w:ascii="宋体" w:eastAsia="宋体" w:hAnsi="宋体" w:cs="宋体"/>
          <w:color w:val="000000"/>
          <w:sz w:val="21"/>
        </w:rPr>
        <w:t>＝－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mgh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，由平均速度解得打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点时重物的瞬时速度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311150" cy="231140"/>
            <wp:effectExtent l="0" t="0" r="12700" b="16510"/>
            <wp:docPr id="1028" name="Drawing 4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Drawing 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</w:rPr>
        <w:t>，该过程的动能增量为Δ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k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62230" cy="213359"/>
            <wp:effectExtent l="0" t="0" r="13970" b="15240"/>
            <wp:docPr id="1029" name="Drawing 5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Drawing 5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，所以Δ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k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62230" cy="213359"/>
            <wp:effectExtent l="0" t="0" r="13970" b="15240"/>
            <wp:docPr id="1030" name="Drawing 6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Drawing 6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drawing>
          <wp:inline distT="0" distB="0" distL="0" distR="0">
            <wp:extent cx="400050" cy="257810"/>
            <wp:effectExtent l="0" t="0" r="0" b="8890"/>
            <wp:docPr id="1031" name="Drawing 7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Drawing 7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。</w:t>
      </w:r>
    </w:p>
    <w:p w14:paraId="6B1E28A4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>)设细线长为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宋体" w:eastAsia="宋体" w:hAnsi="宋体" w:cs="宋体"/>
          <w:color w:val="000000"/>
          <w:sz w:val="21"/>
        </w:rPr>
        <w:t>，在最低点，由牛顿第二定律可得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drawing>
          <wp:inline distT="0" distB="0" distL="0" distR="0">
            <wp:extent cx="97790" cy="231140"/>
            <wp:effectExtent l="0" t="0" r="16510" b="16510"/>
            <wp:docPr id="1032" name="Drawing 8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Drawing 8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544B2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解得此时球的动能为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k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62230" cy="213359"/>
            <wp:effectExtent l="0" t="0" r="13970" b="15240"/>
            <wp:docPr id="1033" name="Drawing 9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Drawing 9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62230" cy="213359"/>
            <wp:effectExtent l="0" t="0" r="13970" b="15240"/>
            <wp:docPr id="1034" name="Drawing 10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Drawing 10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宋体" w:eastAsia="宋体" w:hAnsi="宋体" w:cs="宋体"/>
          <w:color w:val="000000"/>
          <w:sz w:val="21"/>
        </w:rPr>
        <w:t>，球由静止释放到达最低点过程中，若满足机械能守恒，则有</w:t>
      </w:r>
      <w:r>
        <w:drawing>
          <wp:inline distT="0" distB="0" distL="0" distR="0">
            <wp:extent cx="62230" cy="213359"/>
            <wp:effectExtent l="0" t="0" r="13970" b="15240"/>
            <wp:docPr id="1035" name="Drawing 11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rawing 11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mgr</w:t>
      </w:r>
      <w:r>
        <w:rPr>
          <w:rFonts w:ascii="宋体" w:eastAsia="宋体" w:hAnsi="宋体" w:cs="宋体"/>
          <w:color w:val="000000"/>
          <w:sz w:val="21"/>
        </w:rPr>
        <w:t>，联立解得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mgr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62230" cy="213359"/>
            <wp:effectExtent l="0" t="0" r="13970" b="15240"/>
            <wp:docPr id="1036" name="Drawing 12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Drawing 1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宋体" w:eastAsia="宋体" w:hAnsi="宋体" w:cs="宋体"/>
          <w:color w:val="000000"/>
          <w:sz w:val="21"/>
        </w:rPr>
        <w:t>，解得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。</w:t>
      </w:r>
    </w:p>
    <w:p w14:paraId="71E93F26">
      <w:pPr>
        <w:pStyle w:val="Heading1"/>
        <w:spacing w:line="360" w:lineRule="auto"/>
        <w:textAlignment w:val="center"/>
      </w:pPr>
      <w:r>
        <w:rPr>
          <w:rFonts w:ascii="宋体" w:eastAsia="宋体" w:hAnsi="宋体" w:cs="宋体"/>
          <w:b/>
          <w:color w:val="000000"/>
          <w:sz w:val="28"/>
        </w:rPr>
        <w:t>三、</w:t>
      </w:r>
      <w:r>
        <w:rPr>
          <w:rFonts w:ascii="宋体" w:eastAsia="宋体" w:hAnsi="宋体" w:cs="宋体"/>
        </w:rPr>
        <w:t>计算题</w:t>
      </w:r>
    </w:p>
    <w:p w14:paraId="70393D97"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12</w:t>
      </w:r>
      <w:r>
        <w:rPr>
          <w:rFonts w:ascii="宋体" w:eastAsia="宋体" w:hAnsi="宋体" w:cs="宋体"/>
          <w:color w:val="000000"/>
          <w:sz w:val="21"/>
        </w:rPr>
        <w:t>.</w:t>
      </w:r>
      <w:r>
        <w:rPr>
          <w:rFonts w:ascii="宋体" w:eastAsia="宋体" w:hAnsi="宋体" w:cs="宋体"/>
          <w:b/>
          <w:color w:val="000000"/>
          <w:sz w:val="21"/>
        </w:rPr>
        <w:t>【答案】</w:t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>)</w:t>
      </w:r>
      <m:oMath>
        <m:r>
          <w:rPr>
            <w:rFonts w:ascii="Cambria Math" w:hAnsi="Cambria Math"/>
          </w:rPr>
          <m:t>8</m:t>
        </m:r>
        <m:r>
          <m:rPr>
            <m:nor/>
            <m:sty m:val="p"/>
          </m:rPr>
          <w:rPr>
            <w:rFonts w:ascii="Cambria Math" w:hAnsi="Cambria Math"/>
          </w:rPr>
          <m:t>s</m:t>
        </m:r>
      </m:oMath>
      <w:r>
        <w:rPr>
          <w:rFonts w:ascii="宋体" w:eastAsia="宋体" w:hAnsi="宋体" w:cs="宋体"/>
          <w:color w:val="000000"/>
          <w:sz w:val="21"/>
        </w:rPr>
        <w:t>；(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>)</w:t>
      </w:r>
      <m:oMath>
        <m:r>
          <w:rPr>
            <w:rFonts w:ascii="Cambria Math" w:hAnsi="Cambria Math"/>
          </w:rPr>
          <m:t>374.4</m:t>
        </m:r>
        <m:r>
          <m:rPr>
            <m:nor/>
            <m:sty m:val="p"/>
          </m:rPr>
          <w:rPr>
            <w:rFonts w:ascii="Cambria Math" w:hAnsi="Cambria Math"/>
          </w:rPr>
          <m:t>J</m:t>
        </m:r>
      </m:oMath>
      <w:r>
        <w:rPr>
          <w:rFonts w:ascii="宋体" w:eastAsia="宋体" w:hAnsi="宋体" w:cs="宋体"/>
          <w:color w:val="000000"/>
          <w:sz w:val="21"/>
        </w:rPr>
        <w:t>；(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>)</w:t>
      </w:r>
      <m:oMath>
        <m:r>
          <w:rPr>
            <w:rFonts w:ascii="Cambria Math" w:hAnsi="Cambria Math"/>
          </w:rPr>
          <m:t>604.8</m:t>
        </m:r>
        <m:r>
          <m:rPr>
            <m:nor/>
            <m:sty m:val="p"/>
          </m:rPr>
          <w:rPr>
            <w:rFonts w:ascii="Cambria Math" w:hAnsi="Cambria Math"/>
          </w:rPr>
          <m:t>J</m:t>
        </m:r>
      </m:oMath>
    </w:p>
    <w:p w14:paraId="099EE733">
      <w:pPr>
        <w:spacing w:line="360" w:lineRule="auto"/>
        <w:textAlignment w:val="center"/>
      </w:pPr>
      <w:r>
        <w:rPr>
          <w:rFonts w:ascii="宋体" w:eastAsia="宋体" w:hAnsi="宋体" w:cs="宋体"/>
          <w:b/>
          <w:color w:val="000000"/>
          <w:sz w:val="21"/>
        </w:rPr>
        <w:t>【解析】</w:t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>)物体达到与传送带共速前，沿传送带方向，根据牛顿第二定律</w:t>
      </w:r>
    </w:p>
    <w:p w14:paraId="45FF3EFB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有</w:t>
      </w:r>
      <m:oMath>
        <m:r>
          <w:rPr>
            <w:rFonts w:ascii="Cambria Math" w:hAnsi="Cambria Math"/>
          </w:rPr>
          <m:t>μmg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37°−mg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37°=m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14:paraId="29DC6F50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解得物体的加速度为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=0.4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sSup>
          <m:e>
            <m:r>
              <m:rPr>
                <m:nor/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F03CBE0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物体达到与传送带共速所需的时间为</w:t>
      </w:r>
      <m:oMath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v</m:t>
            </m:r>
          </m:num>
          <m:den>
            <m:sSub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=6</m:t>
        </m:r>
        <m:r>
          <m:rPr>
            <m:nor/>
            <m:sty m:val="p"/>
          </m:rPr>
          <w:rPr>
            <w:rFonts w:ascii="Cambria Math" w:hAnsi="Cambria Math"/>
          </w:rPr>
          <m:t>s</m:t>
        </m:r>
      </m:oMath>
    </w:p>
    <w:p w14:paraId="42E4FDE3">
      <w:pPr>
        <w:spacing w:line="360" w:lineRule="auto"/>
        <w:textAlignment w:val="center"/>
      </w:pPr>
      <m:oMath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color w:val="000000"/>
          <w:sz w:val="21"/>
        </w:rPr>
        <w:t>时间内物体的位移为</w:t>
      </w:r>
      <m:oMath>
        <m:sSub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2.4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×6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=7.2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&lt;l=12</m:t>
        </m:r>
        <m:r>
          <m:rPr>
            <m:nor/>
            <m:sty m:val="p"/>
          </m:rPr>
          <w:rPr>
            <w:rFonts w:ascii="Cambria Math" w:hAnsi="Cambria Math"/>
          </w:rPr>
          <m:t>m</m:t>
        </m:r>
      </m:oMath>
    </w:p>
    <w:p w14:paraId="021A0A90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物体与传送带共速后，因</w:t>
      </w:r>
      <m:oMath>
        <m:r>
          <w:rPr>
            <w:rFonts w:ascii="Cambria Math" w:hAnsi="Cambria Math"/>
          </w:rPr>
          <m:t>μmg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37°&gt;mg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37°</m:t>
        </m:r>
      </m:oMath>
      <w:r>
        <w:rPr>
          <w:rFonts w:ascii="宋体" w:eastAsia="宋体" w:hAnsi="宋体" w:cs="宋体"/>
          <w:color w:val="000000"/>
          <w:sz w:val="21"/>
        </w:rPr>
        <w:t>，可知物体与传送带保持相对静止匀速运动，则有物体运动运动的时间为</w:t>
      </w:r>
      <m:oMath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l−</m:t>
            </m:r>
            <m:sSub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12−7.2</m:t>
            </m:r>
          </m:num>
          <m:den>
            <m:r>
              <w:rPr>
                <w:rFonts w:ascii="Cambria Math" w:hAnsi="Cambria Math"/>
              </w:rPr>
              <m:t>2.4</m:t>
            </m:r>
          </m:den>
        </m:f>
        <m:r>
          <m:rPr>
            <m:nor/>
            <m:sty m:val="p"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=2</m:t>
        </m:r>
        <m:r>
          <m:rPr>
            <m:nor/>
            <m:sty m:val="p"/>
          </m:rPr>
          <w:rPr>
            <w:rFonts w:ascii="Cambria Math" w:hAnsi="Cambria Math"/>
          </w:rPr>
          <m:t>s</m:t>
        </m:r>
      </m:oMath>
    </w:p>
    <w:p w14:paraId="5D560001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则物体从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宋体" w:eastAsia="宋体" w:hAnsi="宋体" w:cs="宋体"/>
          <w:color w:val="000000"/>
          <w:sz w:val="21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共需时间为</w:t>
      </w:r>
      <m:oMath>
        <m:r>
          <w:rPr>
            <w:rFonts w:ascii="Cambria Math" w:hAnsi="Cambria Math"/>
          </w:rPr>
          <m:t>t=</m:t>
        </m:r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</m:t>
        </m:r>
        <m:r>
          <m:rPr>
            <m:nor/>
            <m:sty m:val="p"/>
          </m:rPr>
          <w:rPr>
            <w:rFonts w:ascii="Cambria Math" w:hAnsi="Cambria Math"/>
          </w:rPr>
          <m:t>s</m:t>
        </m:r>
      </m:oMath>
    </w:p>
    <w:p w14:paraId="064151DD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>)物块从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宋体" w:eastAsia="宋体" w:hAnsi="宋体" w:cs="宋体"/>
          <w:color w:val="000000"/>
          <w:sz w:val="21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过程中，根据动能定理可得</w:t>
      </w:r>
      <m:oMath>
        <m:sSub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nor/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−mgl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θ=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−0</m:t>
        </m:r>
      </m:oMath>
    </w:p>
    <w:p w14:paraId="627562B3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解得摩擦力对物块做的功为</w:t>
      </w:r>
      <m:oMath>
        <m:sSub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nor/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=374.4</m:t>
        </m:r>
        <m:r>
          <m:rPr>
            <m:nor/>
            <m:sty m:val="p"/>
          </m:rPr>
          <w:rPr>
            <w:rFonts w:ascii="Cambria Math" w:hAnsi="Cambria Math"/>
          </w:rPr>
          <m:t>J</m:t>
        </m:r>
      </m:oMath>
    </w:p>
    <w:p w14:paraId="6B4C5B32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>)物体在匀加速阶段，与传送带的相对位移为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x=v</m:t>
        </m:r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−</m:t>
        </m:r>
        <m:sSub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=2.4×6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−7.2</m:t>
        </m:r>
        <m:r>
          <m:rPr>
            <m:nor/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=7.2</m:t>
        </m:r>
        <m:r>
          <m:rPr>
            <m:nor/>
            <m:sty m:val="p"/>
          </m:rPr>
          <w:rPr>
            <w:rFonts w:ascii="Cambria Math" w:hAnsi="Cambria Math"/>
          </w:rPr>
          <m:t>m</m:t>
        </m:r>
      </m:oMath>
    </w:p>
    <w:p w14:paraId="0F80A16E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则物体与传送带间因摩擦产生的内能为</w:t>
      </w:r>
      <m:oMath>
        <m:r>
          <w:rPr>
            <w:rFonts w:ascii="Cambria Math" w:hAnsi="Cambria Math"/>
          </w:rPr>
          <m:t>Q=μmg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θ⋅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</m:t>
        </m:r>
      </m:oMath>
    </w:p>
    <w:p w14:paraId="4A54C905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根据能量守恒可知，物体从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宋体" w:eastAsia="宋体" w:hAnsi="宋体" w:cs="宋体"/>
          <w:color w:val="000000"/>
          <w:sz w:val="21"/>
        </w:rPr>
        <w:t>点到达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点的过程中，传送带多消耗的电能</w:t>
      </w:r>
    </w:p>
    <w:p w14:paraId="5F071EA7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为</w:t>
      </w:r>
      <m:oMath>
        <m:sSub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电</m:t>
            </m:r>
          </m:sub>
        </m:sSub>
        <m:r>
          <w:rPr>
            <w:rFonts w:ascii="Cambria Math" w:hAnsi="Cambria Math"/>
          </w:rPr>
          <m:t>=mgl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θ+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+Q</m:t>
        </m:r>
      </m:oMath>
    </w:p>
    <w:p w14:paraId="4D5829CF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联立解得传送带多消耗的电能为</w:t>
      </w:r>
      <m:oMath>
        <m:sSub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电</m:t>
            </m:r>
          </m:sub>
        </m:sSub>
        <m:r>
          <w:rPr>
            <w:rFonts w:ascii="Cambria Math" w:hAnsi="Cambria Math"/>
          </w:rPr>
          <m:t>=604.8</m:t>
        </m:r>
        <m:r>
          <m:rPr>
            <m:nor/>
            <m:sty m:val="p"/>
          </m:rPr>
          <w:rPr>
            <w:rFonts w:ascii="Cambria Math" w:hAnsi="Cambria Math"/>
          </w:rPr>
          <m:t>J</m:t>
        </m:r>
      </m:oMath>
    </w:p>
    <w:p w14:paraId="753C080A">
      <w:pPr>
        <w:spacing w:line="360" w:lineRule="auto"/>
        <w:textAlignment w:val="center"/>
      </w:pPr>
    </w:p>
    <w:p w14:paraId="027E145A"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13</w:t>
      </w:r>
      <w:r>
        <w:rPr>
          <w:rFonts w:ascii="宋体" w:eastAsia="宋体" w:hAnsi="宋体" w:cs="宋体"/>
          <w:color w:val="000000"/>
          <w:sz w:val="21"/>
        </w:rPr>
        <w:t>.</w:t>
      </w:r>
      <w:r>
        <w:rPr>
          <w:rFonts w:ascii="宋体" w:eastAsia="宋体" w:hAnsi="宋体" w:cs="宋体"/>
          <w:b/>
          <w:color w:val="000000"/>
          <w:sz w:val="21"/>
        </w:rPr>
        <w:t>【答案】</w:t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</w:rPr>
        <w:t>120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N</w:t>
      </w:r>
      <w:r>
        <w:rPr>
          <w:rFonts w:ascii="宋体" w:eastAsia="宋体" w:hAnsi="宋体" w:cs="宋体"/>
          <w:color w:val="000000"/>
          <w:sz w:val="21"/>
        </w:rPr>
        <w:t>　(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m</w:t>
      </w:r>
      <w:r>
        <w:rPr>
          <w:rFonts w:ascii="宋体" w:eastAsia="宋体" w:hAnsi="宋体" w:cs="宋体"/>
          <w:color w:val="000000"/>
          <w:sz w:val="21"/>
        </w:rPr>
        <w:t>/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  <w:r>
        <w:rPr>
          <w:rFonts w:ascii="宋体" w:eastAsia="宋体" w:hAnsi="宋体" w:cs="宋体"/>
          <w:color w:val="000000"/>
          <w:sz w:val="21"/>
        </w:rPr>
        <w:t>　(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J</w:t>
      </w:r>
    </w:p>
    <w:p w14:paraId="566D99B6">
      <w:pPr>
        <w:spacing w:line="360" w:lineRule="auto"/>
        <w:textAlignment w:val="center"/>
      </w:pPr>
      <w:r>
        <w:rPr>
          <w:rFonts w:ascii="宋体" w:eastAsia="宋体" w:hAnsi="宋体" w:cs="宋体"/>
          <w:b/>
          <w:color w:val="000000"/>
          <w:sz w:val="21"/>
        </w:rPr>
        <w:t>【解析】</w:t>
      </w: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>)小球</w:t>
      </w:r>
      <w:r>
        <w:rPr>
          <w:rFonts w:ascii="Times New Roman" w:eastAsia="Times New Roman" w:hAnsi="Times New Roman" w:cs="Times New Roman"/>
          <w:color w:val="000000"/>
          <w:sz w:val="21"/>
        </w:rPr>
        <w:t>P</w:t>
      </w:r>
      <w:r>
        <w:rPr>
          <w:rFonts w:ascii="宋体" w:eastAsia="宋体" w:hAnsi="宋体" w:cs="宋体"/>
          <w:color w:val="000000"/>
          <w:sz w:val="21"/>
        </w:rPr>
        <w:t>恰好能通过半圆形轨道的最高点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宋体" w:eastAsia="宋体" w:hAnsi="宋体" w:cs="宋体"/>
          <w:color w:val="000000"/>
          <w:sz w:val="21"/>
        </w:rPr>
        <w:t>，由牛顿第二定律有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drawing>
          <wp:inline distT="0" distB="0" distL="0" distR="0">
            <wp:extent cx="177800" cy="284480"/>
            <wp:effectExtent l="0" t="0" r="12700" b="1270"/>
            <wp:docPr id="1037" name="Drawing 13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Drawing 13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9ED56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C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248920" cy="168910"/>
            <wp:effectExtent l="0" t="0" r="17780" b="2540"/>
            <wp:docPr id="1038" name="Drawing 14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Drawing 1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1A0C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对于小球</w:t>
      </w:r>
      <w:r>
        <w:rPr>
          <w:rFonts w:ascii="Times New Roman" w:eastAsia="Times New Roman" w:hAnsi="Times New Roman" w:cs="Times New Roman"/>
          <w:color w:val="000000"/>
          <w:sz w:val="21"/>
        </w:rPr>
        <w:t>P</w:t>
      </w:r>
      <w:r>
        <w:rPr>
          <w:rFonts w:ascii="宋体" w:eastAsia="宋体" w:hAnsi="宋体" w:cs="宋体"/>
          <w:color w:val="000000"/>
          <w:sz w:val="21"/>
        </w:rPr>
        <w:t>，从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→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宋体" w:eastAsia="宋体" w:hAnsi="宋体" w:cs="宋体"/>
          <w:color w:val="000000"/>
          <w:sz w:val="21"/>
        </w:rPr>
        <w:t>，由动能定理有－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mgR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80010" cy="257810"/>
            <wp:effectExtent l="0" t="0" r="15240" b="8890"/>
            <wp:docPr id="1039" name="Drawing 15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Drawing 1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－</w:t>
      </w:r>
      <w:r>
        <w:drawing>
          <wp:inline distT="0" distB="0" distL="0" distR="0">
            <wp:extent cx="80010" cy="257810"/>
            <wp:effectExtent l="0" t="0" r="15240" b="8890"/>
            <wp:docPr id="1040" name="Drawing 16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Drawing 1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</w:p>
    <w:p w14:paraId="4A7BE0B6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311150" cy="168910"/>
            <wp:effectExtent l="0" t="0" r="12700" b="2540"/>
            <wp:docPr id="1041" name="Drawing 17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Drawing 1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BD1A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宋体" w:eastAsia="宋体" w:hAnsi="宋体" w:cs="宋体"/>
          <w:color w:val="000000"/>
          <w:sz w:val="21"/>
        </w:rPr>
        <w:t>点，由牛顿第二定律有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drawing>
          <wp:inline distT="0" distB="0" distL="0" distR="0">
            <wp:extent cx="168910" cy="284480"/>
            <wp:effectExtent l="0" t="0" r="2540" b="1270"/>
            <wp:docPr id="1042" name="Drawing 18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Drawing 1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90BC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mg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120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N</w:t>
      </w:r>
    </w:p>
    <w:p w14:paraId="55601DA4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由牛顿第三定律有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′＝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120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N</w:t>
      </w:r>
    </w:p>
    <w:p w14:paraId="68DE5D1E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>)设</w:t>
      </w:r>
      <w:r>
        <w:rPr>
          <w:rFonts w:ascii="Times New Roman" w:eastAsia="Times New Roman" w:hAnsi="Times New Roman" w:cs="Times New Roman"/>
          <w:color w:val="000000"/>
          <w:sz w:val="21"/>
        </w:rPr>
        <w:t>Q</w:t>
      </w:r>
      <w:r>
        <w:rPr>
          <w:rFonts w:ascii="宋体" w:eastAsia="宋体" w:hAnsi="宋体" w:cs="宋体"/>
          <w:color w:val="000000"/>
          <w:sz w:val="21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  <w:r>
        <w:rPr>
          <w:rFonts w:ascii="宋体" w:eastAsia="宋体" w:hAnsi="宋体" w:cs="宋体"/>
          <w:color w:val="000000"/>
          <w:sz w:val="21"/>
        </w:rPr>
        <w:t>做平抛运动的初速度大小为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宋体" w:eastAsia="宋体" w:hAnsi="宋体" w:cs="宋体"/>
          <w:color w:val="000000"/>
          <w:sz w:val="21"/>
        </w:rPr>
        <w:t>，所用时间为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宋体" w:eastAsia="宋体" w:hAnsi="宋体" w:cs="宋体"/>
          <w:color w:val="000000"/>
          <w:sz w:val="21"/>
        </w:rPr>
        <w:t>，根据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h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80010" cy="257810"/>
            <wp:effectExtent l="0" t="0" r="15240" b="8890"/>
            <wp:docPr id="1043" name="Drawing 19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Drawing 1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gt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，得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0</w:t>
      </w:r>
      <w:r>
        <w:rPr>
          <w:rFonts w:ascii="宋体" w:eastAsia="宋体" w:hAnsi="宋体" w:cs="宋体"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</w:p>
    <w:p w14:paraId="0F2AAADD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根据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vt</w:t>
      </w:r>
      <w:r>
        <w:rPr>
          <w:rFonts w:ascii="宋体" w:eastAsia="宋体" w:hAnsi="宋体" w:cs="宋体"/>
          <w:color w:val="000000"/>
          <w:sz w:val="21"/>
        </w:rPr>
        <w:t>，得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m</w:t>
      </w:r>
      <w:r>
        <w:rPr>
          <w:rFonts w:ascii="宋体" w:eastAsia="宋体" w:hAnsi="宋体" w:cs="宋体"/>
          <w:color w:val="000000"/>
          <w:sz w:val="21"/>
        </w:rPr>
        <w:t>/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</w:p>
    <w:p w14:paraId="5F761CC5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碰撞前后</w:t>
      </w:r>
      <w:r>
        <w:rPr>
          <w:rFonts w:ascii="Times New Roman" w:eastAsia="Times New Roman" w:hAnsi="Times New Roman" w:cs="Times New Roman"/>
          <w:color w:val="000000"/>
          <w:sz w:val="21"/>
        </w:rPr>
        <w:t>Q</w:t>
      </w:r>
      <w:r>
        <w:rPr>
          <w:rFonts w:ascii="宋体" w:eastAsia="宋体" w:hAnsi="宋体" w:cs="宋体"/>
          <w:color w:val="000000"/>
          <w:sz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  <w:r>
        <w:rPr>
          <w:rFonts w:ascii="宋体" w:eastAsia="宋体" w:hAnsi="宋体" w:cs="宋体"/>
          <w:color w:val="000000"/>
          <w:sz w:val="21"/>
        </w:rPr>
        <w:t>组成的系统动量守恒，则有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Q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</w:p>
    <w:p w14:paraId="668BE8A9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Q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m</w:t>
      </w:r>
      <w:r>
        <w:rPr>
          <w:rFonts w:ascii="宋体" w:eastAsia="宋体" w:hAnsi="宋体" w:cs="宋体"/>
          <w:color w:val="000000"/>
          <w:sz w:val="21"/>
        </w:rPr>
        <w:t>/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</w:p>
    <w:p w14:paraId="65B70F80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</w:rPr>
        <w:t>P</w:t>
      </w:r>
      <w:r>
        <w:rPr>
          <w:rFonts w:ascii="宋体" w:eastAsia="宋体" w:hAnsi="宋体" w:cs="宋体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</w:rPr>
        <w:t>Q</w:t>
      </w:r>
      <w:r>
        <w:rPr>
          <w:rFonts w:ascii="宋体" w:eastAsia="宋体" w:hAnsi="宋体" w:cs="宋体"/>
          <w:color w:val="000000"/>
          <w:sz w:val="21"/>
        </w:rPr>
        <w:t>和弹簧组成的系统动量守恒，则有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P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Q</w:t>
      </w:r>
    </w:p>
    <w:p w14:paraId="15C045B9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P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m</w:t>
      </w:r>
      <w:r>
        <w:rPr>
          <w:rFonts w:ascii="宋体" w:eastAsia="宋体" w:hAnsi="宋体" w:cs="宋体"/>
          <w:color w:val="000000"/>
          <w:sz w:val="21"/>
        </w:rPr>
        <w:t>/</w:t>
      </w:r>
      <w:r>
        <w:rPr>
          <w:rFonts w:ascii="Times New Roman" w:eastAsia="Times New Roman" w:hAnsi="Times New Roman" w:cs="Times New Roman"/>
          <w:color w:val="000000"/>
          <w:sz w:val="21"/>
        </w:rPr>
        <w:t>s</w:t>
      </w:r>
    </w:p>
    <w:p w14:paraId="20493FD7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</w:rPr>
        <w:t>P</w:t>
      </w:r>
      <w:r>
        <w:rPr>
          <w:rFonts w:ascii="宋体" w:eastAsia="宋体" w:hAnsi="宋体" w:cs="宋体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</w:rPr>
        <w:t>Q</w:t>
      </w:r>
      <w:r>
        <w:rPr>
          <w:rFonts w:ascii="宋体" w:eastAsia="宋体" w:hAnsi="宋体" w:cs="宋体"/>
          <w:color w:val="000000"/>
          <w:sz w:val="21"/>
        </w:rPr>
        <w:t>和弹簧组成的系统，由能量守恒定律有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p</w:t>
      </w:r>
      <w:r>
        <w:rPr>
          <w:rFonts w:ascii="宋体" w:eastAsia="宋体" w:hAnsi="宋体" w:cs="宋体"/>
          <w:color w:val="000000"/>
          <w:sz w:val="21"/>
        </w:rPr>
        <w:t>＝</w:t>
      </w:r>
      <w:r>
        <w:drawing>
          <wp:inline distT="0" distB="0" distL="0" distR="0">
            <wp:extent cx="80010" cy="257810"/>
            <wp:effectExtent l="0" t="0" r="15240" b="8890"/>
            <wp:docPr id="1044" name="Drawing 20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Drawing 20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</w:rPr>
        <w:t>＋</w:t>
      </w:r>
      <w:r>
        <w:drawing>
          <wp:inline distT="0" distB="0" distL="0" distR="0">
            <wp:extent cx="80010" cy="257810"/>
            <wp:effectExtent l="0" t="0" r="15240" b="8890"/>
            <wp:docPr id="1045" name="Drawing 21" descr="图片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Drawing 2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</w:p>
    <w:p w14:paraId="13BF3ABB">
      <w:pPr>
        <w:spacing w:line="360" w:lineRule="auto"/>
        <w:textAlignment w:val="center"/>
      </w:pPr>
      <w:r>
        <w:rPr>
          <w:rFonts w:ascii="宋体" w:eastAsia="宋体" w:hAnsi="宋体" w:cs="宋体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p</w:t>
      </w:r>
      <w:r>
        <w:rPr>
          <w:rFonts w:ascii="宋体" w:eastAsia="宋体" w:hAnsi="宋体" w:cs="宋体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>
        <w:rPr>
          <w:rFonts w:ascii="宋体" w:eastAsia="宋体" w:hAnsi="宋体" w:cs="宋体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J</w:t>
      </w:r>
      <w:r>
        <w:rPr>
          <w:rFonts w:ascii="宋体" w:eastAsia="宋体" w:hAnsi="宋体" w:cs="宋体"/>
          <w:color w:val="000000"/>
          <w:sz w:val="21"/>
        </w:rPr>
        <w:t>。</w:t>
      </w:r>
    </w:p>
    <w:p w14:paraId="4AE099D0">
      <w:pPr>
        <w:spacing w:line="360" w:lineRule="auto"/>
        <w:textAlignment w:val="center"/>
      </w:pPr>
    </w:p>
    <w:sectPr>
      <w:headerReference w:type="default" r:id="rId14"/>
      <w:footerReference w:type="default" r:id="rId15"/>
      <w:pgSz w:w="11906" w:h="16838" w:orient="portrait"/>
      <w:pgMar w:top="1083" w:right="1440" w:bottom="1083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variable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200001FF" w:csb1="00000000"/>
  </w:font>
  <w:font w:name="Cambria Math">
    <w:altName w:val="Cambria Math"/>
    <w:panose1 w:val="02040503050004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singleLevel"/>
    <w:tmpl w:val="B9BBBE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3A4251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21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80" w:beforeAutospacing="0" w:after="290" w:afterAutospacing="0" w:line="372" w:lineRule="auto"/>
      <w:outlineLvl w:val="3"/>
    </w:pPr>
    <w:rPr>
      <w:rFonts w:ascii="Arial" w:eastAsia="黑体" w:hAnsi="Arial"/>
      <w:b/>
      <w:sz w:val="21"/>
    </w:rPr>
  </w:style>
  <w:style w:type="character" w:default="1" w:styleId="DefaultParagraphFont">
    <w:name w:val="Default Paragraph Font"/>
    <w:uiPriority w:val="1"/>
    <w:qFormat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6" Type="http://schemas.openxmlformats.org/officeDocument/2006/relationships/theme" Target="theme/theme1.xml"/><Relationship Id="rId17" Type="http://schemas.openxmlformats.org/officeDocument/2006/relationships/numbering" Target="numbering.xml"/><Relationship Id="rId18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